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AD74DC">
      <w:pPr>
        <w:jc w:val="center"/>
        <w:rPr>
          <w:rFonts w:ascii="Times New Roman" w:hAnsi="Times New Roman" w:cs="Times New Roman"/>
          <w:b/>
          <w:sz w:val="40"/>
          <w:szCs w:val="40"/>
          <w:lang w:val="es-MX"/>
        </w:rPr>
      </w:pPr>
    </w:p>
    <w:p w14:paraId="4BD4A3B8">
      <w:pPr>
        <w:jc w:val="center"/>
        <w:rPr>
          <w:rFonts w:ascii="Times New Roman" w:hAnsi="Times New Roman" w:cs="Times New Roman"/>
          <w:b/>
          <w:sz w:val="40"/>
          <w:szCs w:val="40"/>
          <w:lang w:val="es-MX"/>
        </w:rPr>
      </w:pPr>
      <w:r>
        <w:rPr>
          <w:rFonts w:ascii="SimSun" w:hAnsi="SimSun" w:eastAsia="SimSun" w:cs="SimSun"/>
          <w:sz w:val="24"/>
          <w:szCs w:val="24"/>
        </w:rPr>
        <w:drawing>
          <wp:inline distT="0" distB="0" distL="114300" distR="114300">
            <wp:extent cx="4286250" cy="2257425"/>
            <wp:effectExtent l="0" t="0" r="0" b="9525"/>
            <wp:docPr id="1" name="Imagen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MG_256"/>
                    <pic:cNvPicPr>
                      <a:picLocks noChangeAspect="1"/>
                    </pic:cNvPicPr>
                  </pic:nvPicPr>
                  <pic:blipFill>
                    <a:blip r:embed="rId6"/>
                    <a:stretch>
                      <a:fillRect/>
                    </a:stretch>
                  </pic:blipFill>
                  <pic:spPr>
                    <a:xfrm>
                      <a:off x="0" y="0"/>
                      <a:ext cx="4286250" cy="2257425"/>
                    </a:xfrm>
                    <a:prstGeom prst="rect">
                      <a:avLst/>
                    </a:prstGeom>
                    <a:noFill/>
                    <a:ln w="9525">
                      <a:noFill/>
                    </a:ln>
                  </pic:spPr>
                </pic:pic>
              </a:graphicData>
            </a:graphic>
          </wp:inline>
        </w:drawing>
      </w:r>
      <w:bookmarkStart w:id="0" w:name="_GoBack"/>
      <w:bookmarkEnd w:id="0"/>
    </w:p>
    <w:p w14:paraId="0769DD70">
      <w:pPr>
        <w:jc w:val="center"/>
        <w:rPr>
          <w:rFonts w:ascii="Times New Roman" w:hAnsi="Times New Roman" w:cs="Times New Roman"/>
          <w:b/>
          <w:sz w:val="40"/>
          <w:szCs w:val="40"/>
          <w:lang w:val="es-MX"/>
        </w:rPr>
      </w:pPr>
      <w:r>
        <w:rPr>
          <w:rFonts w:ascii="Times New Roman" w:hAnsi="Times New Roman" w:cs="Times New Roman"/>
          <w:b/>
          <w:sz w:val="40"/>
          <w:szCs w:val="40"/>
          <w:lang w:val="es-MX"/>
        </w:rPr>
        <w:t>El colonialismo inverso.</w:t>
      </w:r>
    </w:p>
    <w:p w14:paraId="6CCA59AE">
      <w:pPr>
        <w:jc w:val="right"/>
        <w:rPr>
          <w:rFonts w:ascii="Times New Roman" w:hAnsi="Times New Roman" w:cs="Times New Roman"/>
          <w:sz w:val="40"/>
          <w:szCs w:val="40"/>
          <w:lang w:val="es-MX"/>
        </w:rPr>
      </w:pPr>
      <w:r>
        <w:rPr>
          <w:rFonts w:ascii="Times New Roman" w:hAnsi="Times New Roman" w:cs="Times New Roman"/>
          <w:sz w:val="40"/>
          <w:szCs w:val="40"/>
          <w:lang w:val="es-MX"/>
        </w:rPr>
        <w:t>Luis Eduardo Cortés Riera.</w:t>
      </w:r>
    </w:p>
    <w:p w14:paraId="7A9CFDCB">
      <w:pPr>
        <w:jc w:val="right"/>
        <w:rPr>
          <w:rFonts w:ascii="Times New Roman" w:hAnsi="Times New Roman" w:cs="Times New Roman"/>
          <w:b/>
          <w:sz w:val="40"/>
          <w:szCs w:val="40"/>
          <w:lang w:val="es-MX"/>
        </w:rPr>
      </w:pPr>
      <w:r>
        <w:rPr>
          <w:rFonts w:ascii="Times New Roman" w:hAnsi="Times New Roman" w:cs="Times New Roman"/>
          <w:sz w:val="40"/>
          <w:szCs w:val="40"/>
          <w:lang w:val="es-MX"/>
        </w:rPr>
        <w:t>cronistadecarora@gmail.com</w:t>
      </w:r>
    </w:p>
    <w:p w14:paraId="0A855969">
      <w:pPr>
        <w:ind w:firstLine="708"/>
        <w:jc w:val="both"/>
        <w:rPr>
          <w:rFonts w:ascii="Times New Roman" w:hAnsi="Times New Roman" w:cs="Times New Roman"/>
          <w:sz w:val="40"/>
          <w:szCs w:val="40"/>
          <w:lang w:val="es-MX"/>
        </w:rPr>
      </w:pPr>
      <w:r>
        <w:rPr>
          <w:rFonts w:ascii="Times New Roman" w:hAnsi="Times New Roman" w:cs="Times New Roman"/>
          <w:sz w:val="40"/>
          <w:szCs w:val="40"/>
          <w:lang w:val="es-MX"/>
        </w:rPr>
        <w:t xml:space="preserve">Como producto inesperado de la globalización, ha emergido lo que el sociólogo británico nacido en 1938, Anthony Giddens, ha llamado “Colonialismo inverso”, uno de sus efectos contradictorios y sorprendentes. Uno de tales </w:t>
      </w:r>
      <w:r>
        <w:rPr>
          <w:rFonts w:hint="default" w:ascii="Times New Roman" w:hAnsi="Times New Roman" w:cs="Times New Roman"/>
          <w:sz w:val="40"/>
          <w:szCs w:val="40"/>
          <w:lang w:val="es-MX"/>
        </w:rPr>
        <w:t xml:space="preserve">inesperados </w:t>
      </w:r>
      <w:r>
        <w:rPr>
          <w:rFonts w:ascii="Times New Roman" w:hAnsi="Times New Roman" w:cs="Times New Roman"/>
          <w:sz w:val="40"/>
          <w:szCs w:val="40"/>
          <w:lang w:val="es-MX"/>
        </w:rPr>
        <w:t xml:space="preserve">efectos son por ejemplo las series de televisión brasileñas que se exportan con gran éxito a Portugal, así como la latinización de la ciudad de Los Ángeles, California, por los inmigrantes ilegales, fenómeno que ya había advertido tempranamente Octavio Paz en 1950 en su obra clásica </w:t>
      </w:r>
      <w:r>
        <w:rPr>
          <w:rFonts w:ascii="Times New Roman" w:hAnsi="Times New Roman" w:cs="Times New Roman"/>
          <w:i/>
          <w:sz w:val="40"/>
          <w:szCs w:val="40"/>
          <w:lang w:val="es-MX"/>
        </w:rPr>
        <w:t xml:space="preserve">El laberinto de la soledad. </w:t>
      </w:r>
    </w:p>
    <w:p w14:paraId="258C23E8">
      <w:pPr>
        <w:ind w:firstLine="708"/>
        <w:jc w:val="both"/>
        <w:rPr>
          <w:rFonts w:ascii="Times New Roman" w:hAnsi="Times New Roman" w:cs="Times New Roman"/>
          <w:i/>
          <w:sz w:val="40"/>
          <w:szCs w:val="40"/>
          <w:lang w:val="es-MX"/>
        </w:rPr>
      </w:pPr>
      <w:r>
        <w:rPr>
          <w:rFonts w:ascii="Times New Roman" w:hAnsi="Times New Roman" w:cs="Times New Roman"/>
          <w:sz w:val="40"/>
          <w:szCs w:val="40"/>
          <w:lang w:val="es-MX"/>
        </w:rPr>
        <w:t xml:space="preserve">Defensor del libre mercado y renovador de la democracia, el teórico social, asesor del primer ministro Tony Blair con la llamada Tercera Vía, Anthony Giddens afirma que existe un fundamentalismo que se aferra a las tradicionales costumbres, a lo que propone una </w:t>
      </w:r>
      <w:r>
        <w:rPr>
          <w:rFonts w:hint="default" w:ascii="Times New Roman" w:hAnsi="Times New Roman" w:cs="Times New Roman"/>
          <w:sz w:val="40"/>
          <w:szCs w:val="40"/>
          <w:lang w:val="es-MX"/>
        </w:rPr>
        <w:t>“</w:t>
      </w:r>
      <w:r>
        <w:rPr>
          <w:rFonts w:ascii="Times New Roman" w:hAnsi="Times New Roman" w:cs="Times New Roman"/>
          <w:sz w:val="40"/>
          <w:szCs w:val="40"/>
          <w:lang w:val="es-MX"/>
        </w:rPr>
        <w:t>tolerancia cosmopolita</w:t>
      </w:r>
      <w:r>
        <w:rPr>
          <w:rFonts w:hint="default" w:ascii="Times New Roman" w:hAnsi="Times New Roman" w:cs="Times New Roman"/>
          <w:sz w:val="40"/>
          <w:szCs w:val="40"/>
          <w:lang w:val="es-MX"/>
        </w:rPr>
        <w:t>”</w:t>
      </w:r>
      <w:r>
        <w:rPr>
          <w:rFonts w:ascii="Times New Roman" w:hAnsi="Times New Roman" w:cs="Times New Roman"/>
          <w:sz w:val="40"/>
          <w:szCs w:val="40"/>
          <w:lang w:val="es-MX"/>
        </w:rPr>
        <w:t>, concepto con el cual enfrenta a la vieja y gastada izquierda. El mundo moderno carece de tradición, pues todos somos libres de elegir. La ausencia de folklorismo hace más libre a la sociedad, afirma el</w:t>
      </w:r>
      <w:r>
        <w:rPr>
          <w:rFonts w:hint="default" w:ascii="Times New Roman" w:hAnsi="Times New Roman" w:cs="Times New Roman"/>
          <w:sz w:val="40"/>
          <w:szCs w:val="40"/>
          <w:lang w:val="es-MX"/>
        </w:rPr>
        <w:t xml:space="preserve"> controvertido</w:t>
      </w:r>
      <w:r>
        <w:rPr>
          <w:rFonts w:ascii="Times New Roman" w:hAnsi="Times New Roman" w:cs="Times New Roman"/>
          <w:sz w:val="40"/>
          <w:szCs w:val="40"/>
          <w:lang w:val="es-MX"/>
        </w:rPr>
        <w:t xml:space="preserve"> sociólogo británico. Se le considera </w:t>
      </w:r>
      <w:r>
        <w:rPr>
          <w:rFonts w:hint="default" w:ascii="Times New Roman" w:hAnsi="Times New Roman" w:cs="Times New Roman"/>
          <w:sz w:val="40"/>
          <w:szCs w:val="40"/>
          <w:lang w:val="es-MX"/>
        </w:rPr>
        <w:t xml:space="preserve">a Giddens </w:t>
      </w:r>
      <w:r>
        <w:rPr>
          <w:rFonts w:ascii="Times New Roman" w:hAnsi="Times New Roman" w:cs="Times New Roman"/>
          <w:sz w:val="40"/>
          <w:szCs w:val="40"/>
          <w:lang w:val="es-MX"/>
        </w:rPr>
        <w:t xml:space="preserve">renovador del pensamiento social, el “panteón clásico”, tras Marx, Durkheim y Weber, reconocido como el científico social más influyente después de Keynes, director del afamado London School of Economics. En 1971 escribió </w:t>
      </w:r>
      <w:r>
        <w:rPr>
          <w:rFonts w:ascii="Times New Roman" w:hAnsi="Times New Roman" w:cs="Times New Roman"/>
          <w:i/>
          <w:sz w:val="40"/>
          <w:szCs w:val="40"/>
          <w:lang w:val="es-MX"/>
        </w:rPr>
        <w:t>El capitalismo y la moderna teoría social,</w:t>
      </w:r>
      <w:r>
        <w:rPr>
          <w:rFonts w:ascii="Times New Roman" w:hAnsi="Times New Roman" w:cs="Times New Roman"/>
          <w:sz w:val="40"/>
          <w:szCs w:val="40"/>
          <w:lang w:val="es-MX"/>
        </w:rPr>
        <w:t xml:space="preserve"> en 1976 se atreve llamar a su obra</w:t>
      </w:r>
      <w:r>
        <w:rPr>
          <w:rFonts w:ascii="Times New Roman" w:hAnsi="Times New Roman" w:cs="Times New Roman"/>
          <w:i/>
          <w:sz w:val="40"/>
          <w:szCs w:val="40"/>
          <w:lang w:val="es-MX"/>
        </w:rPr>
        <w:t xml:space="preserve"> Las nuevas reglas del método sociológico.</w:t>
      </w:r>
    </w:p>
    <w:p w14:paraId="0BEEA988">
      <w:pPr>
        <w:ind w:firstLine="708"/>
        <w:jc w:val="both"/>
        <w:rPr>
          <w:rFonts w:ascii="Times New Roman" w:hAnsi="Times New Roman" w:cs="Times New Roman"/>
          <w:b/>
          <w:sz w:val="40"/>
          <w:szCs w:val="40"/>
          <w:lang w:val="es-MX"/>
        </w:rPr>
      </w:pPr>
      <w:r>
        <w:rPr>
          <w:rFonts w:ascii="Times New Roman" w:hAnsi="Times New Roman" w:cs="Times New Roman"/>
          <w:b/>
          <w:sz w:val="40"/>
          <w:szCs w:val="40"/>
          <w:lang w:val="es-MX"/>
        </w:rPr>
        <w:t xml:space="preserve">Relaciones del Reino Unido con India. </w:t>
      </w:r>
    </w:p>
    <w:p w14:paraId="7E2464A1">
      <w:pPr>
        <w:ind w:firstLine="708"/>
        <w:jc w:val="both"/>
        <w:rPr>
          <w:rFonts w:ascii="Times New Roman" w:hAnsi="Times New Roman" w:cs="Times New Roman"/>
          <w:sz w:val="40"/>
          <w:szCs w:val="40"/>
          <w:lang w:val="es-MX"/>
        </w:rPr>
      </w:pPr>
      <w:r>
        <w:rPr>
          <w:rFonts w:ascii="Times New Roman" w:hAnsi="Times New Roman" w:cs="Times New Roman"/>
          <w:sz w:val="40"/>
          <w:szCs w:val="40"/>
          <w:lang w:val="es-MX"/>
        </w:rPr>
        <w:t xml:space="preserve">Como sabemos, el Reino Unido se apodera por la fuerza de la milenaria civilización India a mediados del siglo XVIII, una cultura que entonces estaba cerca de alcanzar la Revolución Industrial, sostiene el británico Joseph Needham, pues sus logros científicos, como los de China, eran iguales o en algunos casos superiores a los de Europa de la modernidad temprana. </w:t>
      </w:r>
    </w:p>
    <w:p w14:paraId="4F140E4A">
      <w:pPr>
        <w:ind w:firstLine="708"/>
        <w:jc w:val="both"/>
        <w:rPr>
          <w:rFonts w:ascii="Times New Roman" w:hAnsi="Times New Roman" w:cs="Times New Roman"/>
          <w:sz w:val="40"/>
          <w:szCs w:val="40"/>
          <w:lang w:val="es-MX"/>
        </w:rPr>
      </w:pPr>
      <w:r>
        <w:rPr>
          <w:rFonts w:ascii="Times New Roman" w:hAnsi="Times New Roman" w:cs="Times New Roman"/>
          <w:sz w:val="40"/>
          <w:szCs w:val="40"/>
          <w:lang w:val="es-MX"/>
        </w:rPr>
        <w:t>En 1600 es fundada la Compañía Británica de las Indias Orientales que establece pujante relación comercial con la India bajo domino mongol. Con el tiempo esta empresa llega a controlar casi todo el sub continente indio. Sus activos eran tan grandes que la Corona británica se vio obligada a intervenir, pues se comportaba como empresa privada. El inmenso Imperio Británico tuvo en India su base principal para su futura expansión en Asia, su principal fuente de ingresos, de mano de obra y soldados para las múltiples guerras que emprende Inglaterra en Asia</w:t>
      </w:r>
      <w:r>
        <w:rPr>
          <w:rFonts w:hint="default" w:ascii="Times New Roman" w:hAnsi="Times New Roman" w:cs="Times New Roman"/>
          <w:sz w:val="40"/>
          <w:szCs w:val="40"/>
          <w:lang w:val="es-MX"/>
        </w:rPr>
        <w:t>,</w:t>
      </w:r>
      <w:r>
        <w:rPr>
          <w:rFonts w:ascii="Times New Roman" w:hAnsi="Times New Roman" w:cs="Times New Roman"/>
          <w:sz w:val="40"/>
          <w:szCs w:val="40"/>
          <w:lang w:val="es-MX"/>
        </w:rPr>
        <w:t xml:space="preserve"> tales como la Guerra del Opio y la Primera y Segunda Guerra Mundial. Las rebeliones de los nativos no se hicieron esperar</w:t>
      </w:r>
      <w:r>
        <w:rPr>
          <w:rFonts w:hint="default" w:ascii="Times New Roman" w:hAnsi="Times New Roman" w:cs="Times New Roman"/>
          <w:sz w:val="40"/>
          <w:szCs w:val="40"/>
          <w:lang w:val="es-MX"/>
        </w:rPr>
        <w:t xml:space="preserve"> </w:t>
      </w:r>
      <w:r>
        <w:rPr>
          <w:rFonts w:ascii="Times New Roman" w:hAnsi="Times New Roman" w:cs="Times New Roman"/>
          <w:sz w:val="40"/>
          <w:szCs w:val="40"/>
          <w:lang w:val="es-MX"/>
        </w:rPr>
        <w:t xml:space="preserve">-como la de 1857 liderada por una mujer, Manikarnika Tambe- y </w:t>
      </w:r>
      <w:r>
        <w:rPr>
          <w:rFonts w:hint="default" w:ascii="Times New Roman" w:hAnsi="Times New Roman" w:cs="Times New Roman"/>
          <w:sz w:val="40"/>
          <w:szCs w:val="40"/>
          <w:lang w:val="es-MX"/>
        </w:rPr>
        <w:t xml:space="preserve">que </w:t>
      </w:r>
      <w:r>
        <w:rPr>
          <w:rFonts w:ascii="Times New Roman" w:hAnsi="Times New Roman" w:cs="Times New Roman"/>
          <w:sz w:val="40"/>
          <w:szCs w:val="40"/>
          <w:lang w:val="es-MX"/>
        </w:rPr>
        <w:t>fueron aplastadas con saña</w:t>
      </w:r>
      <w:r>
        <w:rPr>
          <w:rFonts w:hint="default" w:ascii="Times New Roman" w:hAnsi="Times New Roman" w:cs="Times New Roman"/>
          <w:sz w:val="40"/>
          <w:szCs w:val="40"/>
          <w:lang w:val="es-MX"/>
        </w:rPr>
        <w:t xml:space="preserve"> inmisericorde</w:t>
      </w:r>
      <w:r>
        <w:rPr>
          <w:rFonts w:ascii="Times New Roman" w:hAnsi="Times New Roman" w:cs="Times New Roman"/>
          <w:sz w:val="40"/>
          <w:szCs w:val="40"/>
          <w:lang w:val="es-MX"/>
        </w:rPr>
        <w:t xml:space="preserve">. Se estima que la colonización británica en India ocasionó, sostienen Dylan Hickel y Jason Sullivan, entre 100 y 165 millones de muertes por empobrecimiento de la población y hambrunas recurrentes. </w:t>
      </w:r>
    </w:p>
    <w:p w14:paraId="45B5EFD8">
      <w:pPr>
        <w:ind w:firstLine="708"/>
        <w:jc w:val="both"/>
        <w:rPr>
          <w:rFonts w:ascii="Times New Roman" w:hAnsi="Times New Roman" w:cs="Times New Roman"/>
          <w:sz w:val="40"/>
          <w:szCs w:val="40"/>
          <w:lang w:val="es-MX"/>
        </w:rPr>
      </w:pPr>
      <w:r>
        <w:rPr>
          <w:rFonts w:ascii="Times New Roman" w:hAnsi="Times New Roman" w:cs="Times New Roman"/>
          <w:sz w:val="40"/>
          <w:szCs w:val="40"/>
          <w:lang w:val="es-MX"/>
        </w:rPr>
        <w:t>Ese dominio llega a su final tras la Segunda Guerra Mundial</w:t>
      </w:r>
      <w:r>
        <w:rPr>
          <w:rFonts w:hint="default" w:ascii="Times New Roman" w:hAnsi="Times New Roman" w:cs="Times New Roman"/>
          <w:sz w:val="40"/>
          <w:szCs w:val="40"/>
          <w:lang w:val="es-MX"/>
        </w:rPr>
        <w:t>,</w:t>
      </w:r>
      <w:r>
        <w:rPr>
          <w:rFonts w:ascii="Times New Roman" w:hAnsi="Times New Roman" w:cs="Times New Roman"/>
          <w:sz w:val="40"/>
          <w:szCs w:val="40"/>
          <w:lang w:val="es-MX"/>
        </w:rPr>
        <w:t xml:space="preserve"> cuando Inglaterra sale exhausta y debilitada de ese </w:t>
      </w:r>
      <w:r>
        <w:rPr>
          <w:rFonts w:hint="default" w:ascii="Times New Roman" w:hAnsi="Times New Roman" w:cs="Times New Roman"/>
          <w:sz w:val="40"/>
          <w:szCs w:val="40"/>
          <w:lang w:val="es-MX"/>
        </w:rPr>
        <w:t xml:space="preserve">largo y sangiento </w:t>
      </w:r>
      <w:r>
        <w:rPr>
          <w:rFonts w:ascii="Times New Roman" w:hAnsi="Times New Roman" w:cs="Times New Roman"/>
          <w:sz w:val="40"/>
          <w:szCs w:val="40"/>
          <w:lang w:val="es-MX"/>
        </w:rPr>
        <w:t>conflicto</w:t>
      </w:r>
      <w:r>
        <w:rPr>
          <w:rFonts w:hint="default" w:ascii="Times New Roman" w:hAnsi="Times New Roman" w:cs="Times New Roman"/>
          <w:sz w:val="40"/>
          <w:szCs w:val="40"/>
          <w:lang w:val="es-MX"/>
        </w:rPr>
        <w:t xml:space="preserve"> con la Alemania nazi</w:t>
      </w:r>
      <w:r>
        <w:rPr>
          <w:rFonts w:ascii="Times New Roman" w:hAnsi="Times New Roman" w:cs="Times New Roman"/>
          <w:sz w:val="40"/>
          <w:szCs w:val="40"/>
          <w:lang w:val="es-MX"/>
        </w:rPr>
        <w:t xml:space="preserve">.  La ideología </w:t>
      </w:r>
      <w:r>
        <w:rPr>
          <w:rFonts w:ascii="Times New Roman" w:hAnsi="Times New Roman" w:cs="Times New Roman"/>
          <w:i/>
          <w:iCs/>
          <w:sz w:val="40"/>
          <w:szCs w:val="40"/>
          <w:lang w:val="es-MX"/>
        </w:rPr>
        <w:t>satyagraha</w:t>
      </w:r>
      <w:r>
        <w:rPr>
          <w:rFonts w:ascii="Times New Roman" w:hAnsi="Times New Roman" w:cs="Times New Roman"/>
          <w:sz w:val="40"/>
          <w:szCs w:val="40"/>
          <w:lang w:val="es-MX"/>
        </w:rPr>
        <w:t xml:space="preserve"> de la “no violencia” que empleó Gandhi con suma audacia, dio final con el Raj Británico, que incluía Birmania, Bangladesh, Pakistán e India, en 1947.</w:t>
      </w:r>
    </w:p>
    <w:p w14:paraId="2C3E7EC5">
      <w:pPr>
        <w:ind w:firstLine="708"/>
        <w:jc w:val="both"/>
        <w:rPr>
          <w:rFonts w:ascii="Times New Roman" w:hAnsi="Times New Roman" w:cs="Times New Roman"/>
          <w:i/>
          <w:sz w:val="40"/>
          <w:szCs w:val="40"/>
          <w:lang w:val="es-MX"/>
        </w:rPr>
      </w:pPr>
      <w:r>
        <w:rPr>
          <w:rFonts w:ascii="Times New Roman" w:hAnsi="Times New Roman" w:cs="Times New Roman"/>
          <w:sz w:val="40"/>
          <w:szCs w:val="40"/>
          <w:lang w:val="es-MX"/>
        </w:rPr>
        <w:t xml:space="preserve"> La India sin embargo continuó siendo miembro de la Commonwealth, una institución que el decadente Imperio Español no fue capaz de crear con sus excolonias. En 1945 participa en la creación de la Organización de las Naciones Unidas en San Francisco. Hogaño es India el segundo inversor extranjero en el Reino Unido y ha mantenido la enseñanza de la lengua de Shakespeare en su sistema educativo, lo cual le ha permitido insertarse con facilidad en la globalización del siglo XXI. </w:t>
      </w:r>
    </w:p>
    <w:p w14:paraId="3401CCC8">
      <w:pPr>
        <w:jc w:val="both"/>
        <w:rPr>
          <w:rFonts w:ascii="Times New Roman" w:hAnsi="Times New Roman" w:cs="Times New Roman"/>
          <w:b/>
          <w:sz w:val="40"/>
          <w:szCs w:val="40"/>
          <w:lang w:val="es-MX"/>
        </w:rPr>
      </w:pPr>
      <w:r>
        <w:rPr>
          <w:rFonts w:ascii="Times New Roman" w:hAnsi="Times New Roman" w:cs="Times New Roman"/>
          <w:b/>
          <w:sz w:val="40"/>
          <w:szCs w:val="40"/>
          <w:lang w:val="es-MX"/>
        </w:rPr>
        <w:t>El conglomerado Tata.</w:t>
      </w:r>
    </w:p>
    <w:p w14:paraId="45BB5192">
      <w:pPr>
        <w:ind w:firstLine="708"/>
        <w:jc w:val="both"/>
        <w:rPr>
          <w:rFonts w:ascii="Times New Roman" w:hAnsi="Times New Roman" w:cs="Times New Roman"/>
          <w:sz w:val="40"/>
          <w:szCs w:val="40"/>
          <w:lang w:val="es-MX"/>
        </w:rPr>
      </w:pPr>
      <w:r>
        <w:rPr>
          <w:rFonts w:ascii="Times New Roman" w:hAnsi="Times New Roman" w:cs="Times New Roman"/>
          <w:sz w:val="40"/>
          <w:szCs w:val="40"/>
          <w:lang w:val="es-MX"/>
        </w:rPr>
        <w:t xml:space="preserve">Se nos ocurre escribir sobre este nuevo fenómeno económico y cultural del “colonialismo inverso”, tras </w:t>
      </w:r>
      <w:r>
        <w:rPr>
          <w:rFonts w:hint="default" w:ascii="Times New Roman" w:hAnsi="Times New Roman" w:cs="Times New Roman"/>
          <w:sz w:val="40"/>
          <w:szCs w:val="40"/>
          <w:lang w:val="es-MX"/>
        </w:rPr>
        <w:t>el</w:t>
      </w:r>
      <w:r>
        <w:rPr>
          <w:rFonts w:ascii="Times New Roman" w:hAnsi="Times New Roman" w:cs="Times New Roman"/>
          <w:sz w:val="40"/>
          <w:szCs w:val="40"/>
          <w:lang w:val="es-MX"/>
        </w:rPr>
        <w:t xml:space="preserve"> </w:t>
      </w:r>
      <w:r>
        <w:rPr>
          <w:rFonts w:hint="default" w:ascii="Times New Roman" w:hAnsi="Times New Roman" w:cs="Times New Roman"/>
          <w:sz w:val="40"/>
          <w:szCs w:val="40"/>
          <w:lang w:val="es-MX"/>
        </w:rPr>
        <w:t>reciente óbito</w:t>
      </w:r>
      <w:r>
        <w:rPr>
          <w:rFonts w:ascii="Times New Roman" w:hAnsi="Times New Roman" w:cs="Times New Roman"/>
          <w:sz w:val="40"/>
          <w:szCs w:val="40"/>
          <w:lang w:val="es-MX"/>
        </w:rPr>
        <w:t xml:space="preserve">, el 09 de octubre de 2024 en la India, del multimillonario y filántropo Ratan Navel Tata (1938-2024), que hizo estudios en las Universidades de Harvard y Cornell, un hombre que colonizó a Gran Bretaña con sus productos “made in India”, una consecuencia que jamás habría podido imaginar Mahatma Gandhi, padre de la India moderna. Un pavo real, ave nacional de la India, ha sido colocado en el Palacio de Buckingham recientemente. </w:t>
      </w:r>
    </w:p>
    <w:p w14:paraId="2D391182">
      <w:pPr>
        <w:jc w:val="both"/>
        <w:rPr>
          <w:rFonts w:ascii="Times New Roman" w:hAnsi="Times New Roman" w:cs="Times New Roman"/>
          <w:sz w:val="40"/>
          <w:szCs w:val="40"/>
          <w:lang w:val="es-MX"/>
        </w:rPr>
      </w:pPr>
      <w:r>
        <w:rPr>
          <w:rFonts w:ascii="Times New Roman" w:hAnsi="Times New Roman" w:cs="Times New Roman"/>
          <w:sz w:val="40"/>
          <w:szCs w:val="40"/>
          <w:lang w:val="es-MX"/>
        </w:rPr>
        <w:t xml:space="preserve"> </w:t>
      </w:r>
      <w:r>
        <w:rPr>
          <w:rFonts w:ascii="Times New Roman" w:hAnsi="Times New Roman" w:cs="Times New Roman"/>
          <w:sz w:val="40"/>
          <w:szCs w:val="40"/>
          <w:lang w:val="es-MX"/>
        </w:rPr>
        <w:tab/>
      </w:r>
      <w:r>
        <w:rPr>
          <w:rFonts w:ascii="Times New Roman" w:hAnsi="Times New Roman" w:cs="Times New Roman"/>
          <w:sz w:val="40"/>
          <w:szCs w:val="40"/>
          <w:lang w:val="es-MX"/>
        </w:rPr>
        <w:t xml:space="preserve">El gigantesco Grupo Tata, fundado en 1868 en la India a sangre y fuego colonizada por los ingleses, el Raj Británico, joya de la Corona inglesa, factura anualmente unos 100.000 millones de dólares al año, lo que representa un 5 por ciento de la enorme economía indú, una de las de más rápido crecimiento a escala planetaria y que por ello compite con la de </w:t>
      </w:r>
      <w:r>
        <w:rPr>
          <w:rFonts w:hint="default" w:ascii="Times New Roman" w:hAnsi="Times New Roman" w:cs="Times New Roman"/>
          <w:sz w:val="40"/>
          <w:szCs w:val="40"/>
          <w:lang w:val="es-MX"/>
        </w:rPr>
        <w:t xml:space="preserve">la República Popular </w:t>
      </w:r>
      <w:r>
        <w:rPr>
          <w:rFonts w:ascii="Times New Roman" w:hAnsi="Times New Roman" w:cs="Times New Roman"/>
          <w:sz w:val="40"/>
          <w:szCs w:val="40"/>
          <w:lang w:val="es-MX"/>
        </w:rPr>
        <w:t xml:space="preserve">China, un salto histórico hacia adelante. </w:t>
      </w:r>
    </w:p>
    <w:p w14:paraId="705AB2D0">
      <w:pPr>
        <w:ind w:firstLine="708"/>
        <w:jc w:val="both"/>
        <w:rPr>
          <w:rFonts w:ascii="Times New Roman" w:hAnsi="Times New Roman" w:cs="Times New Roman"/>
          <w:sz w:val="40"/>
          <w:szCs w:val="40"/>
          <w:lang w:val="es-MX"/>
        </w:rPr>
      </w:pPr>
      <w:r>
        <w:rPr>
          <w:rFonts w:ascii="Times New Roman" w:hAnsi="Times New Roman" w:cs="Times New Roman"/>
          <w:sz w:val="40"/>
          <w:szCs w:val="40"/>
          <w:lang w:val="es-MX"/>
        </w:rPr>
        <w:t xml:space="preserve">De ser originalmente una empresa familiar fundada por el bisabuelo de Ratan Tata, se transformó en “potencia mundial”. El conglomerado Tata agrupa unas 100 empresas en variadísimos sectores, desde software, café, aviones, enseres para el hogar, hasta autos deportivos, gestiona aerolíneas, creó el primer modelo digital superapp de la India, hotelería y turismo, colocó un automóvil barato al alcance de las clases populares. </w:t>
      </w:r>
    </w:p>
    <w:p w14:paraId="78ED316B">
      <w:pPr>
        <w:ind w:firstLine="708"/>
        <w:jc w:val="both"/>
        <w:rPr>
          <w:rFonts w:ascii="Times New Roman" w:hAnsi="Times New Roman" w:cs="Times New Roman"/>
          <w:sz w:val="40"/>
          <w:szCs w:val="40"/>
          <w:lang w:val="es-MX"/>
        </w:rPr>
      </w:pPr>
      <w:r>
        <w:rPr>
          <w:rFonts w:ascii="Times New Roman" w:hAnsi="Times New Roman" w:cs="Times New Roman"/>
          <w:sz w:val="40"/>
          <w:szCs w:val="40"/>
          <w:lang w:val="es-MX"/>
        </w:rPr>
        <w:t>| Este poderoso grupo adquirió en 2008 las emblemáticas marcas</w:t>
      </w:r>
      <w:r>
        <w:rPr>
          <w:rFonts w:hint="default" w:ascii="Times New Roman" w:hAnsi="Times New Roman" w:cs="Times New Roman"/>
          <w:sz w:val="40"/>
          <w:szCs w:val="40"/>
          <w:lang w:val="es-MX"/>
        </w:rPr>
        <w:t xml:space="preserve"> de sello británico</w:t>
      </w:r>
      <w:r>
        <w:rPr>
          <w:rFonts w:ascii="Times New Roman" w:hAnsi="Times New Roman" w:cs="Times New Roman"/>
          <w:sz w:val="40"/>
          <w:szCs w:val="40"/>
          <w:lang w:val="es-MX"/>
        </w:rPr>
        <w:t xml:space="preserve"> Jaguar y Land Rover, así como la marca de té Tetley, otrora orgullosas marcas de la Pérfida Albión. Adquirió la siderúrgica anglo-holandesa Corus en 2007, colabora con la taiwanesa TSMC, uno de los mayores fabricantes mundiales de microchips y proveedor de Apple y Nvidia, unas 64.000 personas trabajan en Tata en el Reino Unido.</w:t>
      </w:r>
    </w:p>
    <w:p w14:paraId="4451E0CB">
      <w:pPr>
        <w:ind w:firstLine="708"/>
        <w:jc w:val="both"/>
        <w:rPr>
          <w:rFonts w:ascii="Times New Roman" w:hAnsi="Times New Roman" w:cs="Times New Roman"/>
          <w:b/>
          <w:sz w:val="40"/>
          <w:szCs w:val="40"/>
          <w:lang w:val="es-MX"/>
        </w:rPr>
      </w:pPr>
      <w:r>
        <w:rPr>
          <w:rFonts w:ascii="Times New Roman" w:hAnsi="Times New Roman" w:cs="Times New Roman"/>
          <w:b/>
          <w:sz w:val="40"/>
          <w:szCs w:val="40"/>
          <w:lang w:val="es-MX"/>
        </w:rPr>
        <w:t xml:space="preserve">Inglaterra: del </w:t>
      </w:r>
      <w:r>
        <w:rPr>
          <w:rFonts w:hint="default" w:ascii="Times New Roman" w:hAnsi="Times New Roman" w:cs="Times New Roman"/>
          <w:b/>
          <w:sz w:val="40"/>
          <w:szCs w:val="40"/>
          <w:lang w:val="es-MX"/>
        </w:rPr>
        <w:t>B</w:t>
      </w:r>
      <w:r>
        <w:rPr>
          <w:rFonts w:ascii="Times New Roman" w:hAnsi="Times New Roman" w:cs="Times New Roman"/>
          <w:b/>
          <w:sz w:val="40"/>
          <w:szCs w:val="40"/>
          <w:lang w:val="es-MX"/>
        </w:rPr>
        <w:t>rexit a los Brics.</w:t>
      </w:r>
    </w:p>
    <w:p w14:paraId="37AEF30A">
      <w:pPr>
        <w:ind w:firstLine="708"/>
        <w:jc w:val="both"/>
        <w:rPr>
          <w:rFonts w:hint="default" w:ascii="Times New Roman" w:hAnsi="Times New Roman" w:cs="Times New Roman"/>
          <w:b w:val="0"/>
          <w:bCs/>
          <w:sz w:val="40"/>
          <w:szCs w:val="40"/>
          <w:lang w:val="es-MX"/>
        </w:rPr>
      </w:pPr>
      <w:r>
        <w:rPr>
          <w:rFonts w:hint="default" w:ascii="Times New Roman" w:hAnsi="Times New Roman" w:cs="Times New Roman"/>
          <w:b w:val="0"/>
          <w:bCs/>
          <w:sz w:val="40"/>
          <w:szCs w:val="40"/>
          <w:lang w:val="es-MX"/>
        </w:rPr>
        <w:t xml:space="preserve">En 1921 el Imperio Británico llega a su maxima expansión. Después de la Segunda Guerra Mundial, el otrora orgulloso Imperio se desmoronará en pocas décadas.  </w:t>
      </w:r>
      <w:r>
        <w:rPr>
          <w:rFonts w:ascii="Times New Roman" w:hAnsi="Times New Roman" w:cs="Times New Roman"/>
          <w:b w:val="0"/>
          <w:bCs/>
          <w:sz w:val="40"/>
          <w:szCs w:val="40"/>
          <w:lang w:val="es-MX"/>
        </w:rPr>
        <w:t xml:space="preserve"> </w:t>
      </w:r>
      <w:r>
        <w:rPr>
          <w:rFonts w:hint="default" w:ascii="Times New Roman" w:hAnsi="Times New Roman" w:cs="Times New Roman"/>
          <w:b w:val="0"/>
          <w:bCs/>
          <w:sz w:val="40"/>
          <w:szCs w:val="40"/>
          <w:lang w:val="es-MX"/>
        </w:rPr>
        <w:t>Hogaño comete el enorme error de cálculo de separarse de la Unión Europea, con lo que ve disminuir ostensiblemente su PIB, que cayó un 10,4 por ciento en 2020, y su sistema politico se tambalea. El país se ha quedado en la orfandad y sin una visión de futuro, una andadura en solitario. Las negociaciones comerciales del Reino Unido con Estados unidos y la India se hayan estancadas, dice la BBC, pero el flujo migratorio de indios hacia el Reino Unido se ha incrementado notablemente y de manera exponencial.</w:t>
      </w:r>
    </w:p>
    <w:p w14:paraId="1C827EA4">
      <w:pPr>
        <w:ind w:firstLine="708"/>
        <w:jc w:val="both"/>
        <w:rPr>
          <w:rFonts w:hint="default" w:ascii="Times New Roman" w:hAnsi="Times New Roman" w:cs="Times New Roman"/>
          <w:b w:val="0"/>
          <w:bCs/>
          <w:sz w:val="40"/>
          <w:szCs w:val="40"/>
          <w:lang w:val="es-MX"/>
        </w:rPr>
      </w:pPr>
      <w:r>
        <w:rPr>
          <w:rFonts w:hint="default" w:ascii="Times New Roman" w:hAnsi="Times New Roman" w:cs="Times New Roman"/>
          <w:b w:val="0"/>
          <w:bCs/>
          <w:sz w:val="40"/>
          <w:szCs w:val="40"/>
          <w:lang w:val="es-MX"/>
        </w:rPr>
        <w:t xml:space="preserve"> Y hasta un primer ministro de origen indú ha tenido el Reino Unido, Rishi Sunak, quien lidera el partido conservador y que además está casado con una hija de un multimillonario de la India, la señora Akshata Murty, y se consideran una de las parejas más ricas de Gran Bretaña. Pero perdió las elecciones estrepitosamente y los laboristas retornan al poder luego de 14 años fuera de él. ¿Qué ubiese sucedido si Sunak ubiese continuado en el poder? ¿Se habría ahondado la “colonizacion inversa” entre India y el Reino Unido? ¿Retornará este joven aristócrata de ascendencia indú a Downing Street?.No lo podremos saber con certeza, pero sí sabemos que cuando ascendió al poder en 2022, la India lo reclamó como un hijo suyo: “El hijo de la India se levanta sobre el Imperio. La historia cierra el círculo en Gran Bretaña.” “Un Rishi de origen indio para gobernar a los blancos.” Cosa parecida a la situación de Kamala Harris, vice presidenta y candidata a la presidencia de Estados Unidos de ascendencia tamil india.</w:t>
      </w:r>
    </w:p>
    <w:p w14:paraId="76CEFE60">
      <w:pPr>
        <w:ind w:firstLine="708"/>
        <w:jc w:val="both"/>
        <w:rPr>
          <w:rFonts w:hint="default" w:ascii="Times New Roman" w:hAnsi="Times New Roman" w:cs="Times New Roman"/>
          <w:b w:val="0"/>
          <w:bCs/>
          <w:sz w:val="40"/>
          <w:szCs w:val="40"/>
          <w:lang w:val="es-MX"/>
        </w:rPr>
      </w:pPr>
      <w:r>
        <w:rPr>
          <w:rFonts w:hint="default" w:ascii="Times New Roman" w:hAnsi="Times New Roman" w:cs="Times New Roman"/>
          <w:b w:val="0"/>
          <w:bCs/>
          <w:sz w:val="40"/>
          <w:szCs w:val="40"/>
          <w:lang w:val="es-MX"/>
        </w:rPr>
        <w:t xml:space="preserve"> Londres cabisbajo ahora mira con gran interés a su antigua colonia asiática, excolonia que ahora desplaza a Gran Bretaña de su quinto lugar en la economía mundial. El “colonialismo inverso” triunfa en el siglo XXI, más aún si el acuerdo Brics, India incluida, reconfigura el tablero geopolítico mundial, dejando atrás la hegemonía unipolar estadounidense. </w:t>
      </w:r>
    </w:p>
    <w:p w14:paraId="2A276EF4">
      <w:pPr>
        <w:ind w:firstLine="708"/>
        <w:jc w:val="right"/>
        <w:rPr>
          <w:rFonts w:hint="default" w:ascii="Times New Roman" w:hAnsi="Times New Roman" w:cs="Times New Roman"/>
          <w:b w:val="0"/>
          <w:bCs/>
          <w:sz w:val="40"/>
          <w:szCs w:val="40"/>
          <w:lang w:val="es-MX"/>
        </w:rPr>
      </w:pPr>
      <w:r>
        <w:rPr>
          <w:rFonts w:hint="default" w:ascii="Times New Roman" w:hAnsi="Times New Roman" w:cs="Times New Roman"/>
          <w:b w:val="0"/>
          <w:bCs/>
          <w:sz w:val="40"/>
          <w:szCs w:val="40"/>
          <w:lang w:val="es-MX"/>
        </w:rPr>
        <w:t xml:space="preserve">Carora, </w:t>
      </w:r>
    </w:p>
    <w:p w14:paraId="2018640A">
      <w:pPr>
        <w:ind w:firstLine="708"/>
        <w:jc w:val="right"/>
        <w:rPr>
          <w:rFonts w:hint="default" w:ascii="Times New Roman" w:hAnsi="Times New Roman" w:cs="Times New Roman"/>
          <w:b w:val="0"/>
          <w:bCs/>
          <w:sz w:val="40"/>
          <w:szCs w:val="40"/>
          <w:lang w:val="es-MX"/>
        </w:rPr>
      </w:pPr>
      <w:r>
        <w:rPr>
          <w:rFonts w:hint="default" w:ascii="Times New Roman" w:hAnsi="Times New Roman" w:cs="Times New Roman"/>
          <w:b w:val="0"/>
          <w:bCs/>
          <w:sz w:val="40"/>
          <w:szCs w:val="40"/>
          <w:lang w:val="es-MX"/>
        </w:rPr>
        <w:t>República Bolivariana de Venezuela,</w:t>
      </w:r>
    </w:p>
    <w:p w14:paraId="49B8BF0F">
      <w:pPr>
        <w:ind w:firstLine="708"/>
        <w:jc w:val="right"/>
        <w:rPr>
          <w:rFonts w:hint="default" w:ascii="Times New Roman" w:hAnsi="Times New Roman" w:cs="Times New Roman"/>
          <w:b w:val="0"/>
          <w:bCs/>
          <w:sz w:val="40"/>
          <w:szCs w:val="40"/>
          <w:lang w:val="es-MX"/>
        </w:rPr>
      </w:pPr>
      <w:r>
        <w:rPr>
          <w:rFonts w:hint="default" w:ascii="Times New Roman" w:hAnsi="Times New Roman" w:cs="Times New Roman"/>
          <w:b w:val="0"/>
          <w:bCs/>
          <w:sz w:val="40"/>
          <w:szCs w:val="40"/>
          <w:lang w:val="es-MX"/>
        </w:rPr>
        <w:t>lunes 14 de octubre de 2024.</w:t>
      </w:r>
    </w:p>
    <w:sectPr>
      <w:pgSz w:w="12240" w:h="15840"/>
      <w:pgMar w:top="1417" w:right="1701" w:bottom="1417" w:left="1701"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cumentProtection w:enforcement="0"/>
  <w:defaultTabStop w:val="708"/>
  <w:hyphenationZone w:val="425"/>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2BE9"/>
    <w:rsid w:val="00005C88"/>
    <w:rsid w:val="00012F7F"/>
    <w:rsid w:val="0002799F"/>
    <w:rsid w:val="00044430"/>
    <w:rsid w:val="00075125"/>
    <w:rsid w:val="0009669E"/>
    <w:rsid w:val="000A0326"/>
    <w:rsid w:val="000D03F5"/>
    <w:rsid w:val="001848FB"/>
    <w:rsid w:val="001850A3"/>
    <w:rsid w:val="001E67B3"/>
    <w:rsid w:val="002006F1"/>
    <w:rsid w:val="0025352C"/>
    <w:rsid w:val="00254504"/>
    <w:rsid w:val="00267DC3"/>
    <w:rsid w:val="00291FAC"/>
    <w:rsid w:val="00297ECB"/>
    <w:rsid w:val="002A7DA2"/>
    <w:rsid w:val="002B7570"/>
    <w:rsid w:val="002E2D26"/>
    <w:rsid w:val="00367DFD"/>
    <w:rsid w:val="003702AF"/>
    <w:rsid w:val="00391645"/>
    <w:rsid w:val="00392C19"/>
    <w:rsid w:val="003C7FB8"/>
    <w:rsid w:val="003D6217"/>
    <w:rsid w:val="0041229E"/>
    <w:rsid w:val="00461127"/>
    <w:rsid w:val="00461380"/>
    <w:rsid w:val="0047410E"/>
    <w:rsid w:val="00492A5B"/>
    <w:rsid w:val="004B23C5"/>
    <w:rsid w:val="004B66C2"/>
    <w:rsid w:val="004D2B12"/>
    <w:rsid w:val="004F0433"/>
    <w:rsid w:val="00500A19"/>
    <w:rsid w:val="00546085"/>
    <w:rsid w:val="005F4710"/>
    <w:rsid w:val="00631FE4"/>
    <w:rsid w:val="00632D2E"/>
    <w:rsid w:val="00645E4C"/>
    <w:rsid w:val="00664CAB"/>
    <w:rsid w:val="00680652"/>
    <w:rsid w:val="00684E87"/>
    <w:rsid w:val="00685D26"/>
    <w:rsid w:val="00695DD5"/>
    <w:rsid w:val="006C2BE9"/>
    <w:rsid w:val="006D0AFD"/>
    <w:rsid w:val="006D6452"/>
    <w:rsid w:val="006E1837"/>
    <w:rsid w:val="006F05ED"/>
    <w:rsid w:val="006F0DD1"/>
    <w:rsid w:val="006F76C9"/>
    <w:rsid w:val="00743F27"/>
    <w:rsid w:val="0075388D"/>
    <w:rsid w:val="00762B9E"/>
    <w:rsid w:val="00770DB1"/>
    <w:rsid w:val="0079061C"/>
    <w:rsid w:val="007969CB"/>
    <w:rsid w:val="007D3A39"/>
    <w:rsid w:val="007F47BD"/>
    <w:rsid w:val="00803CE5"/>
    <w:rsid w:val="008065C8"/>
    <w:rsid w:val="00815358"/>
    <w:rsid w:val="008344A1"/>
    <w:rsid w:val="00846D7B"/>
    <w:rsid w:val="00880B29"/>
    <w:rsid w:val="008820DF"/>
    <w:rsid w:val="00891AED"/>
    <w:rsid w:val="008A5D93"/>
    <w:rsid w:val="008D7F68"/>
    <w:rsid w:val="008E2D3B"/>
    <w:rsid w:val="008F19DB"/>
    <w:rsid w:val="009422C9"/>
    <w:rsid w:val="00950510"/>
    <w:rsid w:val="0097121B"/>
    <w:rsid w:val="0098689D"/>
    <w:rsid w:val="00987980"/>
    <w:rsid w:val="00990AF5"/>
    <w:rsid w:val="00996964"/>
    <w:rsid w:val="009D31A4"/>
    <w:rsid w:val="009D5822"/>
    <w:rsid w:val="00A01380"/>
    <w:rsid w:val="00AF08CF"/>
    <w:rsid w:val="00AF700D"/>
    <w:rsid w:val="00B0001A"/>
    <w:rsid w:val="00B20913"/>
    <w:rsid w:val="00B34D83"/>
    <w:rsid w:val="00B4559C"/>
    <w:rsid w:val="00B51C10"/>
    <w:rsid w:val="00BB0B65"/>
    <w:rsid w:val="00BB1951"/>
    <w:rsid w:val="00BF03AC"/>
    <w:rsid w:val="00C04AAB"/>
    <w:rsid w:val="00C1097E"/>
    <w:rsid w:val="00C312D5"/>
    <w:rsid w:val="00C44A23"/>
    <w:rsid w:val="00C95B07"/>
    <w:rsid w:val="00CD51C1"/>
    <w:rsid w:val="00D10ABB"/>
    <w:rsid w:val="00D43435"/>
    <w:rsid w:val="00D81BF8"/>
    <w:rsid w:val="00DD4339"/>
    <w:rsid w:val="00DD4AC3"/>
    <w:rsid w:val="00DD71DB"/>
    <w:rsid w:val="00DE1DAC"/>
    <w:rsid w:val="00DE3E1A"/>
    <w:rsid w:val="00DF39E6"/>
    <w:rsid w:val="00DF55BA"/>
    <w:rsid w:val="00E03C15"/>
    <w:rsid w:val="00E05A5B"/>
    <w:rsid w:val="00E2412D"/>
    <w:rsid w:val="00E24C9E"/>
    <w:rsid w:val="00E70FE0"/>
    <w:rsid w:val="00E901A8"/>
    <w:rsid w:val="00EC6313"/>
    <w:rsid w:val="00F10D2E"/>
    <w:rsid w:val="00F25F2F"/>
    <w:rsid w:val="00F263D2"/>
    <w:rsid w:val="00F41B94"/>
    <w:rsid w:val="00F574BD"/>
    <w:rsid w:val="00F82683"/>
    <w:rsid w:val="00F862DF"/>
    <w:rsid w:val="00FA2F18"/>
    <w:rsid w:val="00FB4BD5"/>
    <w:rsid w:val="00FC15CF"/>
    <w:rsid w:val="00FC4FDC"/>
    <w:rsid w:val="00FC6156"/>
    <w:rsid w:val="00FD4349"/>
    <w:rsid w:val="00FF55EF"/>
    <w:rsid w:val="00FF7F26"/>
    <w:rsid w:val="05272CE4"/>
    <w:rsid w:val="0C2553B3"/>
    <w:rsid w:val="0D221C40"/>
    <w:rsid w:val="0EFA380C"/>
    <w:rsid w:val="101D1F54"/>
    <w:rsid w:val="13642DB7"/>
    <w:rsid w:val="175F5A10"/>
    <w:rsid w:val="1FB216D5"/>
    <w:rsid w:val="228B625A"/>
    <w:rsid w:val="22F23CA5"/>
    <w:rsid w:val="247C6CEB"/>
    <w:rsid w:val="249D54FB"/>
    <w:rsid w:val="26C713AC"/>
    <w:rsid w:val="277B1264"/>
    <w:rsid w:val="27FB1FAD"/>
    <w:rsid w:val="2C62656C"/>
    <w:rsid w:val="2CB2228D"/>
    <w:rsid w:val="2DAB617C"/>
    <w:rsid w:val="2E24528D"/>
    <w:rsid w:val="31390D99"/>
    <w:rsid w:val="33CB468C"/>
    <w:rsid w:val="33F4478F"/>
    <w:rsid w:val="3631465A"/>
    <w:rsid w:val="3D2734EB"/>
    <w:rsid w:val="41E53592"/>
    <w:rsid w:val="43E46E71"/>
    <w:rsid w:val="45A223BE"/>
    <w:rsid w:val="46FB7DEE"/>
    <w:rsid w:val="4B111663"/>
    <w:rsid w:val="4C971DF5"/>
    <w:rsid w:val="51A27D53"/>
    <w:rsid w:val="51C43E86"/>
    <w:rsid w:val="57862681"/>
    <w:rsid w:val="59AB0AC1"/>
    <w:rsid w:val="5A245D72"/>
    <w:rsid w:val="5B481D19"/>
    <w:rsid w:val="5C5C578C"/>
    <w:rsid w:val="5E270AEA"/>
    <w:rsid w:val="5F456359"/>
    <w:rsid w:val="670913DF"/>
    <w:rsid w:val="693E5E10"/>
    <w:rsid w:val="6CFB3956"/>
    <w:rsid w:val="6D043A9C"/>
    <w:rsid w:val="6F881507"/>
    <w:rsid w:val="76CB5CA5"/>
    <w:rsid w:val="7B152645"/>
    <w:rsid w:val="7B23565E"/>
  </w:rsids>
  <m:mathPr>
    <m:mathFont m:val="Cambria Math"/>
    <m:brkBin m:val="before"/>
    <m:brkBinSub m:val="--"/>
    <m:smallFrac m:val="0"/>
    <m:dispDef/>
    <m:lMargin m:val="0"/>
    <m:rMargin m:val="0"/>
    <m:defJc m:val="centerGroup"/>
    <m:wrapIndent m:val="1440"/>
    <m:intLim m:val="subSup"/>
    <m:naryLim m:val="undOvr"/>
  </m:mathPr>
  <w:themeFontLang w:val="es-VE"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s-VE" w:eastAsia="en-US"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160BEC-54A1-403A-B693-BEA06350C188}">
  <ds:schemaRefs/>
</ds:datastoreItem>
</file>

<file path=docProps/app.xml><?xml version="1.0" encoding="utf-8"?>
<Properties xmlns="http://schemas.openxmlformats.org/officeDocument/2006/extended-properties" xmlns:vt="http://schemas.openxmlformats.org/officeDocument/2006/docPropsVTypes">
  <Template>Normal</Template>
  <Pages>7</Pages>
  <Words>840</Words>
  <Characters>4624</Characters>
  <Lines>38</Lines>
  <Paragraphs>10</Paragraphs>
  <TotalTime>1793</TotalTime>
  <ScaleCrop>false</ScaleCrop>
  <LinksUpToDate>false</LinksUpToDate>
  <CharactersWithSpaces>5454</CharactersWithSpaces>
  <Application>WPS Office_12.2.0.18283_F1E327BC-269C-435d-A152-05C5408002CA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2024-10-12T14:35:00Z</dcterms:created>
  <dc:creator>USUARIO</dc:creator>
  <cp:lastModifiedBy>USUARIO</cp:lastModifiedBy>
  <dcterms:modified xsi:type="dcterms:W3CDTF">2024-10-14T13:31:02Z</dcterms:modified>
  <cp:revision>143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2058-12.2.0.18283</vt:lpwstr>
  </property>
  <property fmtid="{D5CDD505-2E9C-101B-9397-08002B2CF9AE}" pid="3" name="ICV">
    <vt:lpwstr>DF1D8DDD2D3A4E85866802A3A8FA3742_12</vt:lpwstr>
  </property>
</Properties>
</file>