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0A5" w:rsidRDefault="001370A5" w:rsidP="00D40226">
      <w:pPr>
        <w:ind w:firstLine="708"/>
        <w:jc w:val="both"/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</w:pPr>
    </w:p>
    <w:p w:rsidR="001370A5" w:rsidRDefault="001370A5" w:rsidP="00D40226">
      <w:pPr>
        <w:ind w:firstLine="708"/>
        <w:jc w:val="both"/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</w:pPr>
    </w:p>
    <w:p w:rsidR="001370A5" w:rsidRDefault="001370A5" w:rsidP="00D40226">
      <w:pPr>
        <w:ind w:firstLine="708"/>
        <w:jc w:val="both"/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</w:pPr>
      <w:r>
        <w:rPr>
          <w:noProof/>
          <w:lang w:eastAsia="es-VE"/>
        </w:rPr>
        <w:drawing>
          <wp:inline distT="0" distB="0" distL="0" distR="0" wp14:anchorId="5B958554" wp14:editId="1863F05D">
            <wp:extent cx="4048125" cy="2972041"/>
            <wp:effectExtent l="0" t="0" r="0" b="0"/>
            <wp:docPr id="1" name="Imagen 1" descr="Mapa antiguo de Mar Mediterráneo Fotografía de stock - Ala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pa antiguo de Mar Mediterráneo Fotografía de stock - Alamy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215" cy="2992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70A5" w:rsidRDefault="001370A5" w:rsidP="00D40226">
      <w:pPr>
        <w:ind w:firstLine="708"/>
        <w:jc w:val="both"/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</w:pPr>
    </w:p>
    <w:p w:rsidR="0079461D" w:rsidRPr="00A65EAD" w:rsidRDefault="00D40226" w:rsidP="00A65EAD">
      <w:pPr>
        <w:ind w:firstLine="708"/>
        <w:jc w:val="center"/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</w:pPr>
      <w:proofErr w:type="spellStart"/>
      <w:r w:rsidRPr="00A65EAD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>Ferna</w:t>
      </w:r>
      <w:r w:rsidRPr="00A65EAD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>n</w:t>
      </w:r>
      <w:r w:rsidRPr="00A65EAD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>d</w:t>
      </w:r>
      <w:proofErr w:type="spellEnd"/>
      <w:r w:rsidRPr="00A65EAD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 xml:space="preserve"> </w:t>
      </w:r>
      <w:proofErr w:type="spellStart"/>
      <w:r w:rsidRPr="00A65EAD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>Braudel</w:t>
      </w:r>
      <w:proofErr w:type="spellEnd"/>
      <w:r w:rsidRPr="00A65EAD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 xml:space="preserve"> y el Mar Mediterráneo.</w:t>
      </w:r>
    </w:p>
    <w:p w:rsidR="00D40226" w:rsidRPr="00A65EAD" w:rsidRDefault="0079461D" w:rsidP="0006736F">
      <w:pPr>
        <w:ind w:firstLine="708"/>
        <w:jc w:val="center"/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</w:pPr>
      <w:r w:rsidRPr="00A65EAD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 xml:space="preserve">A la memoria de José Manuel Briceño </w:t>
      </w:r>
      <w:proofErr w:type="spellStart"/>
      <w:r w:rsidRPr="00A65EAD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>Monzillo</w:t>
      </w:r>
      <w:proofErr w:type="spellEnd"/>
      <w:r w:rsidRPr="00A65EAD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>.</w:t>
      </w:r>
    </w:p>
    <w:p w:rsidR="00D40226" w:rsidRDefault="00D40226" w:rsidP="0006736F">
      <w:pPr>
        <w:ind w:firstLine="708"/>
        <w:jc w:val="right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Luis Eduardo Cortés Riera. </w:t>
      </w:r>
      <w:hyperlink r:id="rId5" w:history="1">
        <w:r w:rsidR="00A2688A" w:rsidRPr="0046613D">
          <w:rPr>
            <w:rStyle w:val="Hipervnculo"/>
            <w:rFonts w:ascii="Times New Roman" w:hAnsi="Times New Roman" w:cs="Times New Roman"/>
            <w:sz w:val="36"/>
            <w:szCs w:val="36"/>
            <w:shd w:val="clear" w:color="auto" w:fill="FFFFFF"/>
          </w:rPr>
          <w:t>cronistadecarora@gmail.com</w:t>
        </w:r>
      </w:hyperlink>
    </w:p>
    <w:p w:rsidR="000F1A71" w:rsidRDefault="000F1A71" w:rsidP="0006736F">
      <w:pPr>
        <w:ind w:firstLine="708"/>
        <w:jc w:val="right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</w:p>
    <w:p w:rsidR="00D40226" w:rsidRDefault="00D40226" w:rsidP="00D40226">
      <w:pPr>
        <w:ind w:firstLine="708"/>
        <w:jc w:val="right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Amo </w:t>
      </w:r>
      <w:r w:rsidR="00A2688A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apasionadamente a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l Mediterráneo, </w:t>
      </w:r>
    </w:p>
    <w:p w:rsidR="00D40226" w:rsidRDefault="00D40226" w:rsidP="00D40226">
      <w:pPr>
        <w:ind w:firstLine="708"/>
        <w:jc w:val="right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tal vez porque, como tantos otros,</w:t>
      </w:r>
    </w:p>
    <w:p w:rsidR="00D40226" w:rsidRDefault="00D40226" w:rsidP="00D40226">
      <w:pPr>
        <w:ind w:firstLine="708"/>
        <w:jc w:val="right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y después de tantos otros,</w:t>
      </w:r>
    </w:p>
    <w:p w:rsidR="00D40226" w:rsidRDefault="00D40226" w:rsidP="00D40226">
      <w:pPr>
        <w:ind w:firstLine="708"/>
        <w:jc w:val="right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he llegado a él desde las tierras del norte.</w:t>
      </w:r>
    </w:p>
    <w:p w:rsidR="000F1A71" w:rsidRDefault="000F1A71" w:rsidP="00D40226">
      <w:pPr>
        <w:ind w:firstLine="708"/>
        <w:jc w:val="right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</w:p>
    <w:p w:rsidR="00D40226" w:rsidRDefault="00D40226" w:rsidP="00AC2A65">
      <w:pPr>
        <w:jc w:val="right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proofErr w:type="spellStart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Fernand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Braudel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 1949.</w:t>
      </w:r>
    </w:p>
    <w:p w:rsidR="00D40226" w:rsidRDefault="00D40226" w:rsidP="008B3D3F">
      <w:pPr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</w:p>
    <w:p w:rsidR="00D40226" w:rsidRDefault="00D40226" w:rsidP="00AC2A65">
      <w:pPr>
        <w:ind w:firstLine="708"/>
        <w:jc w:val="both"/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Merece especial </w:t>
      </w:r>
      <w:r w:rsidR="00AC2A65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atención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este inmenso </w:t>
      </w:r>
      <w:proofErr w:type="spellStart"/>
      <w:r w:rsidR="00AC2A65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geo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historiador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francés que dirige la Escuela de Anales tras la muerte de </w:t>
      </w:r>
      <w:proofErr w:type="spellStart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Lucien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Febvre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en 1956. Su obra capital, </w:t>
      </w:r>
      <w:r w:rsidRPr="00081CCB"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>El Mediterráneo y el mundo mediterráneo en la época de Felipe II,</w:t>
      </w:r>
      <w:r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 xml:space="preserve"> </w:t>
      </w:r>
      <w:r w:rsidRPr="008720A8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fue editada en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francés en</w:t>
      </w:r>
      <w:r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1949</w:t>
      </w:r>
      <w:r w:rsidRPr="00466240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. 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Una ciclópea </w:t>
      </w:r>
      <w:r w:rsidR="000F1A71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y descomunal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obra </w:t>
      </w:r>
      <w:r w:rsidR="000F1A71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densamente ilustrada,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en dos gruesos volúmenes</w:t>
      </w:r>
      <w:r w:rsidR="000F1A71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en donde el gran protagonista </w:t>
      </w:r>
      <w:r w:rsidR="000F1A71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del relato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será la geografía del Mar Mediterráneo, que ocupa 365 páginas del primer volumen de su colosal obra. Es un esfuerzo muy original que casi no tiene antecedentes</w:t>
      </w:r>
      <w:r w:rsidRPr="00967090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.</w:t>
      </w:r>
      <w:r w:rsidRPr="00967090"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 xml:space="preserve"> </w:t>
      </w:r>
    </w:p>
    <w:p w:rsidR="00D40226" w:rsidRPr="00967090" w:rsidRDefault="00D40226" w:rsidP="00AC2A65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 w:rsidRPr="00967090"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Realiza un homenaje a Karl Marx; quien, a su juicio, fue el primero en crear un modelo científico unificador de una larga duración histórica</w:t>
      </w:r>
      <w:r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 xml:space="preserve"> (</w:t>
      </w:r>
      <w:proofErr w:type="spellStart"/>
      <w:r>
        <w:rPr>
          <w:rFonts w:ascii="Times New Roman" w:hAnsi="Times New Roman" w:cs="Times New Roman"/>
          <w:i/>
          <w:color w:val="7A7A7A"/>
          <w:sz w:val="36"/>
          <w:szCs w:val="36"/>
          <w:shd w:val="clear" w:color="auto" w:fill="FFFFFF"/>
        </w:rPr>
        <w:t>longue</w:t>
      </w:r>
      <w:proofErr w:type="spellEnd"/>
      <w:r>
        <w:rPr>
          <w:rFonts w:ascii="Times New Roman" w:hAnsi="Times New Roman" w:cs="Times New Roman"/>
          <w:i/>
          <w:color w:val="7A7A7A"/>
          <w:sz w:val="36"/>
          <w:szCs w:val="36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7A7A7A"/>
          <w:sz w:val="36"/>
          <w:szCs w:val="36"/>
          <w:shd w:val="clear" w:color="auto" w:fill="FFFFFF"/>
        </w:rPr>
        <w:t>duré</w:t>
      </w:r>
      <w:r w:rsidRPr="00967090">
        <w:rPr>
          <w:rFonts w:ascii="Times New Roman" w:hAnsi="Times New Roman" w:cs="Times New Roman"/>
          <w:i/>
          <w:color w:val="7A7A7A"/>
          <w:sz w:val="36"/>
          <w:szCs w:val="36"/>
          <w:shd w:val="clear" w:color="auto" w:fill="FFFFFF"/>
        </w:rPr>
        <w:t>e</w:t>
      </w:r>
      <w:proofErr w:type="spellEnd"/>
      <w:r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 xml:space="preserve">), uno de sus conceptos más felices y de mayor uso en las ciencias sociales hasta el presente, como veremos de seguido. 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En el prólogo a la primera edición francesa nos dice </w:t>
      </w:r>
      <w:proofErr w:type="spellStart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Braudel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: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El Mediterráneo no es siquiera </w:t>
      </w:r>
      <w:r w:rsidRPr="00875408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 xml:space="preserve">un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mar; es…un complejo de mares; y de mares salpicados de islas, cortados por penínsulas, rodeado de costas ramificadas. Su vida se haya mesclada a la tierra, su poesía tiene mucho de rustica, sus marinos son, cuando llega la hora, campesinos como hombres de mar. (28)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La gigantesca obra tiene una estructura tripartita, “cada una de las partes es un intento de explicación de conjunto”: 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lastRenderedPageBreak/>
        <w:t>La primera parte es una historia casi inmóvil, la historia del hombre en sus relaciones con el medio que le rodea; historia lenta en fluir y transformarse, una historia casi situada fuera del tiempo. No es una de las tradicionales introducciones geográficas de los estudios de historia.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Por encima de esta historia inmóvil se alza una historia de ritmo lento, parte segunda: la historia estructural, una historia social, la historia de los grupos y las agrupaciones humanas, un estudio de las economías, los Estados, las sociedades y civilizaciones, fuerzas profundas que entran en acción en los complejos dominios de la guerra.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Finalmente, una tercera parte, la de la historia tradicional, cortada a la medida del individuo, la historia de los acontecimientos, la agitación de la superficie, una historia de las oscilaciones breves, rápidas y nerviosas, la más apasionante y rica en humanidad, y también la más peligrosa. Desconfiemos de esta historia todavía en ascuas, dice </w:t>
      </w:r>
      <w:proofErr w:type="spellStart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Braudel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 historia que tiene la dimensión tanto de sus cóleras como de sus sueños y de sus ilusiones. El monarca español, poderosísimo entonces, Felipe II</w:t>
      </w:r>
      <w:r w:rsidR="007056E8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y la Batalla de Lepanto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 apenas aparece</w:t>
      </w:r>
      <w:r w:rsidR="007056E8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n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al final de las casi 1700 gruesas páginas de la obra. Una inversión </w:t>
      </w:r>
      <w:r w:rsidR="00A2688A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audaz </w:t>
      </w:r>
      <w:r w:rsidR="00F27D48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y valiente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de la tradicional historia política</w:t>
      </w:r>
      <w:r w:rsidR="00AC2A65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</w:t>
      </w:r>
      <w:r w:rsidR="007056E8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centrada en los personajes relevantes </w:t>
      </w:r>
      <w:r w:rsidR="00AC2A65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que entonces dominaba en Francia y en Europa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. 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Es una obra estructurada en la dialéctica espacio-tiempo (historia-geografía)</w:t>
      </w:r>
      <w:r w:rsidR="00AA695D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 una historia a cámara lenta</w:t>
      </w:r>
      <w:r w:rsidR="00AD67C0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que permite descubrir rasgos permanentes</w:t>
      </w:r>
      <w:r w:rsidR="00AA695D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que es la justificación original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lastRenderedPageBreak/>
        <w:t>del libro, toda una novedad</w:t>
      </w:r>
      <w:r w:rsidR="007056E8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 con escasísimos antecedentes</w:t>
      </w:r>
      <w:r w:rsidR="000F1A71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dignos de hacer mención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.</w:t>
      </w:r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Es una labor de síntesis que provoca una nueva ola de investigaciones especializadas, tales como Jean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Delumeau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, Pierre Vilar, Emmanuel Le Roy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Ladurie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,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Vicens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Vives, Alphonse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Dupront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, Pierre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Chaunu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, Julio Caro Baroja, Jacques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Heers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,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Ruggiero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Romano,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Iorjo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Tadic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, Carlo </w:t>
      </w:r>
      <w:proofErr w:type="spellStart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Cipolla</w:t>
      </w:r>
      <w:proofErr w:type="spellEnd"/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</w:t>
      </w:r>
      <w:r w:rsidR="00982D7D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Frank </w:t>
      </w:r>
      <w:proofErr w:type="spellStart"/>
      <w:r w:rsidR="00982D7D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Spooner</w:t>
      </w:r>
      <w:proofErr w:type="spellEnd"/>
      <w:r w:rsidR="00982D7D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</w:t>
      </w:r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entre </w:t>
      </w:r>
      <w:r w:rsidR="008A3FFE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otros.</w:t>
      </w:r>
      <w:r w:rsidR="00345ADB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</w:p>
    <w:p w:rsidR="00D40226" w:rsidRPr="00DA0C5C" w:rsidRDefault="000F1A71" w:rsidP="00D40226">
      <w:pPr>
        <w:ind w:firstLine="708"/>
        <w:jc w:val="both"/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Sufriendo</w:t>
      </w:r>
      <w:r w:rsidR="008A3FFE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largo</w:t>
      </w:r>
      <w:bookmarkStart w:id="0" w:name="_GoBack"/>
      <w:bookmarkEnd w:id="0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presidio</w:t>
      </w:r>
      <w:r w:rsidR="00D4022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en un campo de concentración nazi durante tres años</w:t>
      </w:r>
      <w:r w:rsidR="00F65309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</w:t>
      </w:r>
      <w:r w:rsidR="00D4022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crea </w:t>
      </w:r>
      <w:proofErr w:type="spellStart"/>
      <w:r w:rsidR="00D4022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Braudel</w:t>
      </w:r>
      <w:proofErr w:type="spellEnd"/>
      <w:r w:rsidR="00D4022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el concepto </w:t>
      </w:r>
      <w:r w:rsidR="00F65309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clave </w:t>
      </w:r>
      <w:r w:rsidR="00D4022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de la Larga Duración (</w:t>
      </w:r>
      <w:proofErr w:type="spellStart"/>
      <w:r w:rsidR="00D40226"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>longue</w:t>
      </w:r>
      <w:proofErr w:type="spellEnd"/>
      <w:r w:rsidR="00D40226"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 xml:space="preserve"> </w:t>
      </w:r>
      <w:proofErr w:type="spellStart"/>
      <w:r w:rsidR="00D40226"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>duré</w:t>
      </w:r>
      <w:r w:rsidR="00D40226" w:rsidRPr="00A37394"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>e</w:t>
      </w:r>
      <w:proofErr w:type="spellEnd"/>
      <w:r w:rsidR="00D4022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),</w:t>
      </w:r>
      <w:r w:rsidR="001F03BC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es decir</w:t>
      </w:r>
      <w:r w:rsidR="00D4022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una historia subyacente, esencialmente silenciosa, indudablemente discreta, casi ignorada por quienes la presencian y la viven y que soporta casi inmutable la erosión del tiempo. Sus críticos sostienen que esos tres niveles en que se articula la obra no gozan precisamente de una articulación adecuada, y que sus pasajes son meras y largas descripciones que </w:t>
      </w:r>
      <w:r w:rsidR="00D40226" w:rsidRPr="00DA0C5C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desanimarían a cualquier lector lego o profano.</w:t>
      </w:r>
      <w:r w:rsidR="00D40226" w:rsidRPr="00DA0C5C"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 xml:space="preserve"> </w:t>
      </w:r>
    </w:p>
    <w:p w:rsidR="00D40226" w:rsidRPr="00AC2A65" w:rsidRDefault="00D40226" w:rsidP="00AC2A65">
      <w:pPr>
        <w:ind w:firstLine="708"/>
        <w:jc w:val="both"/>
        <w:rPr>
          <w:rFonts w:ascii="Times New Roman" w:hAnsi="Times New Roman" w:cs="Times New Roman"/>
          <w:color w:val="202122"/>
          <w:sz w:val="32"/>
          <w:szCs w:val="32"/>
          <w:shd w:val="clear" w:color="auto" w:fill="FFFFFF"/>
        </w:rPr>
      </w:pPr>
      <w:proofErr w:type="spellStart"/>
      <w:r w:rsidRPr="00DA0C5C"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Fernand</w:t>
      </w:r>
      <w:proofErr w:type="spellEnd"/>
      <w:r w:rsidRPr="00DA0C5C"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 xml:space="preserve"> </w:t>
      </w:r>
      <w:proofErr w:type="spellStart"/>
      <w:r w:rsidRPr="00DA0C5C"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Braudel</w:t>
      </w:r>
      <w:proofErr w:type="spellEnd"/>
      <w:r w:rsidRPr="00DA0C5C"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, como director de la revista </w:t>
      </w:r>
      <w:proofErr w:type="spellStart"/>
      <w:r w:rsidRPr="00DA0C5C">
        <w:rPr>
          <w:rStyle w:val="nfasis"/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Annales</w:t>
      </w:r>
      <w:proofErr w:type="spellEnd"/>
      <w:r w:rsidRPr="00DA0C5C">
        <w:rPr>
          <w:rStyle w:val="nfasis"/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,</w:t>
      </w:r>
      <w:r w:rsidR="00B73E77">
        <w:rPr>
          <w:rStyle w:val="nfasis"/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 xml:space="preserve"> </w:t>
      </w:r>
      <w:r w:rsidR="00B73E77" w:rsidRP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 xml:space="preserve">fundada por Marc </w:t>
      </w:r>
      <w:proofErr w:type="spellStart"/>
      <w:r w:rsidR="00B73E77" w:rsidRP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>Bloch</w:t>
      </w:r>
      <w:proofErr w:type="spellEnd"/>
      <w:r w:rsidR="00B73E77" w:rsidRP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 xml:space="preserve"> y </w:t>
      </w:r>
      <w:proofErr w:type="spellStart"/>
      <w:r w:rsidR="00B73E77" w:rsidRP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>Lucien</w:t>
      </w:r>
      <w:proofErr w:type="spellEnd"/>
      <w:r w:rsidR="00B73E77" w:rsidRP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 xml:space="preserve"> </w:t>
      </w:r>
      <w:proofErr w:type="spellStart"/>
      <w:r w:rsidR="00B73E77" w:rsidRP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>Feb</w:t>
      </w:r>
      <w:r w:rsid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>v</w:t>
      </w:r>
      <w:r w:rsidR="00B73E77" w:rsidRP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>re</w:t>
      </w:r>
      <w:proofErr w:type="spellEnd"/>
      <w:r w:rsidR="00B73E77" w:rsidRP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 xml:space="preserve"> en</w:t>
      </w:r>
      <w:r w:rsid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 xml:space="preserve"> Estrasburgo, Francia, en</w:t>
      </w:r>
      <w:r w:rsidR="00B73E77" w:rsidRPr="00B73E77">
        <w:rPr>
          <w:rStyle w:val="nfasis"/>
          <w:rFonts w:ascii="Times New Roman" w:hAnsi="Times New Roman" w:cs="Times New Roman"/>
          <w:i w:val="0"/>
          <w:color w:val="7A7A7A"/>
          <w:sz w:val="36"/>
          <w:szCs w:val="36"/>
          <w:shd w:val="clear" w:color="auto" w:fill="FFFFFF"/>
        </w:rPr>
        <w:t xml:space="preserve"> 1929</w:t>
      </w:r>
      <w:r w:rsidR="00B73E77">
        <w:rPr>
          <w:rStyle w:val="nfasis"/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,</w:t>
      </w:r>
      <w:r w:rsidRPr="00DA0C5C">
        <w:rPr>
          <w:rStyle w:val="nfasis"/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 </w:t>
      </w:r>
      <w:r w:rsidRPr="00DA0C5C"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consiguió que su modo de entender la práctica de la historia se generalizara en las universidades francesas; y se exportara a un buen número de países europeos y latinoamericanos.</w:t>
      </w:r>
      <w:r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 xml:space="preserve"> L</w:t>
      </w:r>
      <w:r w:rsidRPr="00DA0C5C">
        <w:rPr>
          <w:rFonts w:ascii="Times New Roman" w:hAnsi="Times New Roman" w:cs="Times New Roman"/>
          <w:color w:val="7A7A7A"/>
          <w:sz w:val="36"/>
          <w:szCs w:val="36"/>
          <w:shd w:val="clear" w:color="auto" w:fill="FFFFFF"/>
        </w:rPr>
        <w:t>os ingleses sin embargo le reprochan su uso de palabra incomprensibles, tales como</w:t>
      </w:r>
      <w:r>
        <w:rPr>
          <w:rFonts w:ascii="Arial" w:hAnsi="Arial" w:cs="Arial"/>
          <w:color w:val="7A7A7A"/>
          <w:shd w:val="clear" w:color="auto" w:fill="FFFFFF"/>
        </w:rPr>
        <w:t xml:space="preserve"> </w:t>
      </w:r>
      <w:r w:rsidRPr="00DA0C5C">
        <w:rPr>
          <w:rFonts w:ascii="Times New Roman" w:hAnsi="Times New Roman" w:cs="Times New Roman"/>
          <w:color w:val="7A7A7A"/>
          <w:sz w:val="32"/>
          <w:szCs w:val="32"/>
          <w:shd w:val="clear" w:color="auto" w:fill="FFFFFF"/>
        </w:rPr>
        <w:t>coyuntura</w:t>
      </w:r>
      <w:r>
        <w:rPr>
          <w:rFonts w:ascii="Times New Roman" w:hAnsi="Times New Roman" w:cs="Times New Roman"/>
          <w:color w:val="7A7A7A"/>
          <w:sz w:val="32"/>
          <w:szCs w:val="32"/>
          <w:shd w:val="clear" w:color="auto" w:fill="FFFFFF"/>
        </w:rPr>
        <w:t xml:space="preserve">, historia </w:t>
      </w:r>
      <w:proofErr w:type="spellStart"/>
      <w:r>
        <w:rPr>
          <w:rFonts w:ascii="Times New Roman" w:hAnsi="Times New Roman" w:cs="Times New Roman"/>
          <w:color w:val="7A7A7A"/>
          <w:sz w:val="32"/>
          <w:szCs w:val="32"/>
          <w:shd w:val="clear" w:color="auto" w:fill="FFFFFF"/>
        </w:rPr>
        <w:t>acontecimal</w:t>
      </w:r>
      <w:proofErr w:type="spellEnd"/>
      <w:r>
        <w:rPr>
          <w:rFonts w:ascii="Times New Roman" w:hAnsi="Times New Roman" w:cs="Times New Roman"/>
          <w:color w:val="7A7A7A"/>
          <w:sz w:val="32"/>
          <w:szCs w:val="32"/>
          <w:shd w:val="clear" w:color="auto" w:fill="FFFFFF"/>
        </w:rPr>
        <w:t xml:space="preserve">, </w:t>
      </w:r>
      <w:proofErr w:type="spellStart"/>
      <w:r w:rsidRPr="005A2C7D">
        <w:rPr>
          <w:rFonts w:ascii="Times New Roman" w:hAnsi="Times New Roman" w:cs="Times New Roman"/>
          <w:i/>
          <w:color w:val="7A7A7A"/>
          <w:sz w:val="32"/>
          <w:szCs w:val="32"/>
          <w:shd w:val="clear" w:color="auto" w:fill="FFFFFF"/>
        </w:rPr>
        <w:t>longue</w:t>
      </w:r>
      <w:proofErr w:type="spellEnd"/>
      <w:r w:rsidRPr="005A2C7D">
        <w:rPr>
          <w:rFonts w:ascii="Times New Roman" w:hAnsi="Times New Roman" w:cs="Times New Roman"/>
          <w:i/>
          <w:color w:val="7A7A7A"/>
          <w:sz w:val="32"/>
          <w:szCs w:val="32"/>
          <w:shd w:val="clear" w:color="auto" w:fill="FFFFFF"/>
        </w:rPr>
        <w:t xml:space="preserve"> </w:t>
      </w:r>
      <w:proofErr w:type="spellStart"/>
      <w:r w:rsidRPr="005A2C7D">
        <w:rPr>
          <w:rFonts w:ascii="Times New Roman" w:hAnsi="Times New Roman" w:cs="Times New Roman"/>
          <w:i/>
          <w:color w:val="7A7A7A"/>
          <w:sz w:val="32"/>
          <w:szCs w:val="32"/>
          <w:shd w:val="clear" w:color="auto" w:fill="FFFFFF"/>
        </w:rPr>
        <w:t>durée</w:t>
      </w:r>
      <w:proofErr w:type="spellEnd"/>
      <w:r w:rsidRPr="005A2C7D">
        <w:rPr>
          <w:rFonts w:ascii="Times New Roman" w:hAnsi="Times New Roman" w:cs="Times New Roman"/>
          <w:i/>
          <w:color w:val="7A7A7A"/>
          <w:sz w:val="32"/>
          <w:szCs w:val="32"/>
          <w:shd w:val="clear" w:color="auto" w:fill="FFFFFF"/>
        </w:rPr>
        <w:t>.</w:t>
      </w:r>
      <w:r w:rsidRPr="00DA0C5C">
        <w:rPr>
          <w:rFonts w:ascii="Times New Roman" w:hAnsi="Times New Roman" w:cs="Times New Roman"/>
          <w:color w:val="7A7A7A"/>
          <w:sz w:val="32"/>
          <w:szCs w:val="32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7A7A7A"/>
          <w:sz w:val="32"/>
          <w:szCs w:val="32"/>
          <w:shd w:val="clear" w:color="auto" w:fill="FFFFFF"/>
        </w:rPr>
        <w:t xml:space="preserve">Problemas de traducción, quizás. 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lastRenderedPageBreak/>
        <w:t xml:space="preserve"> Quien escribe cree, como sabemos, que el Mar Mediterráneo ha sido una </w:t>
      </w:r>
      <w:r w:rsidR="008B3D3F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apasionante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inspiración</w:t>
      </w:r>
      <w:r w:rsidR="008B3D3F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profunda y duradera para </w:t>
      </w:r>
      <w:proofErr w:type="spellStart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Fernand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Braudel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, lo que el cálido y amable trópico </w:t>
      </w:r>
      <w:r w:rsidR="000F1A71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y su M</w:t>
      </w:r>
      <w:r w:rsidR="00E05200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ar Caribe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representa para </w:t>
      </w:r>
      <w:r w:rsidR="008B3D3F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el chileno y venezolano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Pedro </w:t>
      </w:r>
      <w:proofErr w:type="spellStart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Cunill</w:t>
      </w:r>
      <w:proofErr w:type="spellEnd"/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Grau, como veremos en venidera ocasión. </w:t>
      </w:r>
    </w:p>
    <w:p w:rsidR="00D40226" w:rsidRPr="00CE1D7B" w:rsidRDefault="00D40226" w:rsidP="00D40226">
      <w:pPr>
        <w:ind w:firstLine="708"/>
        <w:jc w:val="both"/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</w:pPr>
      <w:r w:rsidRPr="00CE1D7B">
        <w:rPr>
          <w:rFonts w:ascii="Times New Roman" w:hAnsi="Times New Roman" w:cs="Times New Roman"/>
          <w:b/>
          <w:color w:val="202122"/>
          <w:sz w:val="36"/>
          <w:szCs w:val="36"/>
          <w:shd w:val="clear" w:color="auto" w:fill="FFFFFF"/>
        </w:rPr>
        <w:t>Citas:</w:t>
      </w:r>
    </w:p>
    <w:p w:rsidR="00D40226" w:rsidRDefault="00D40226" w:rsidP="00D40226">
      <w:pPr>
        <w:ind w:firstLine="708"/>
        <w:jc w:val="both"/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28 </w:t>
      </w:r>
      <w:proofErr w:type="spellStart"/>
      <w:r w:rsidRPr="00F4014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Braudel</w:t>
      </w:r>
      <w:proofErr w:type="spellEnd"/>
      <w:r w:rsidRPr="00F4014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, </w:t>
      </w:r>
      <w:proofErr w:type="spellStart"/>
      <w:r w:rsidRPr="00F4014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Fernand</w:t>
      </w:r>
      <w:proofErr w:type="spellEnd"/>
      <w:r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 xml:space="preserve">. </w:t>
      </w:r>
      <w:r w:rsidRPr="00081CCB"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>El Mediterráneo y el mundo mediterráneo en la época de Felipe II</w:t>
      </w:r>
      <w:r w:rsidRPr="00F4014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,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 </w:t>
      </w:r>
      <w:r w:rsidRPr="00F40146"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>(1992</w:t>
      </w:r>
      <w:r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 xml:space="preserve">) 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Fondo de Cultura Económica, México. 2 vols. </w:t>
      </w:r>
    </w:p>
    <w:p w:rsidR="00D40226" w:rsidRPr="00466240" w:rsidRDefault="00D40226" w:rsidP="00D40226">
      <w:pPr>
        <w:ind w:firstLine="708"/>
        <w:jc w:val="both"/>
        <w:rPr>
          <w:rFonts w:ascii="Times New Roman" w:hAnsi="Times New Roman" w:cs="Times New Roman"/>
          <w:b/>
          <w:sz w:val="36"/>
          <w:szCs w:val="36"/>
          <w:lang w:val="es-MX"/>
        </w:rPr>
      </w:pP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29 </w:t>
      </w:r>
      <w:r w:rsidRPr="00F40146">
        <w:rPr>
          <w:rFonts w:ascii="Times New Roman" w:hAnsi="Times New Roman" w:cs="Times New Roman"/>
          <w:i/>
          <w:color w:val="202122"/>
          <w:sz w:val="36"/>
          <w:szCs w:val="36"/>
          <w:shd w:val="clear" w:color="auto" w:fill="FFFFFF"/>
        </w:rPr>
        <w:t>ibíd</w:t>
      </w:r>
      <w:r>
        <w:rPr>
          <w:rFonts w:ascii="Times New Roman" w:hAnsi="Times New Roman" w:cs="Times New Roman"/>
          <w:color w:val="202122"/>
          <w:sz w:val="36"/>
          <w:szCs w:val="36"/>
          <w:shd w:val="clear" w:color="auto" w:fill="FFFFFF"/>
        </w:rPr>
        <w:t xml:space="preserve">. Pag. 17 y siguientes. </w:t>
      </w:r>
    </w:p>
    <w:p w:rsidR="003379F0" w:rsidRDefault="003379F0"/>
    <w:sectPr w:rsidR="003379F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226"/>
    <w:rsid w:val="0006736F"/>
    <w:rsid w:val="000F1A71"/>
    <w:rsid w:val="001370A5"/>
    <w:rsid w:val="001F03BC"/>
    <w:rsid w:val="003379F0"/>
    <w:rsid w:val="00345ADB"/>
    <w:rsid w:val="006B4AF5"/>
    <w:rsid w:val="007056E8"/>
    <w:rsid w:val="0079461D"/>
    <w:rsid w:val="008A3FFE"/>
    <w:rsid w:val="008B3D3F"/>
    <w:rsid w:val="00982D7D"/>
    <w:rsid w:val="00A17F9E"/>
    <w:rsid w:val="00A2688A"/>
    <w:rsid w:val="00A65EAD"/>
    <w:rsid w:val="00AA695D"/>
    <w:rsid w:val="00AC2A65"/>
    <w:rsid w:val="00AD67C0"/>
    <w:rsid w:val="00B73E77"/>
    <w:rsid w:val="00CF663D"/>
    <w:rsid w:val="00D40226"/>
    <w:rsid w:val="00E05200"/>
    <w:rsid w:val="00ED7F80"/>
    <w:rsid w:val="00F27D48"/>
    <w:rsid w:val="00F65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C8859"/>
  <w15:chartTrackingRefBased/>
  <w15:docId w15:val="{A9DF1F00-BCF5-445B-9984-A8E1E2803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022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D40226"/>
    <w:rPr>
      <w:i/>
      <w:iCs/>
    </w:rPr>
  </w:style>
  <w:style w:type="character" w:styleId="Hipervnculo">
    <w:name w:val="Hyperlink"/>
    <w:basedOn w:val="Fuentedeprrafopredeter"/>
    <w:uiPriority w:val="99"/>
    <w:unhideWhenUsed/>
    <w:rsid w:val="00D402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ronistadecarora@gmail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785</Words>
  <Characters>4319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31</cp:revision>
  <dcterms:created xsi:type="dcterms:W3CDTF">2023-08-10T15:51:00Z</dcterms:created>
  <dcterms:modified xsi:type="dcterms:W3CDTF">2023-08-10T16:51:00Z</dcterms:modified>
</cp:coreProperties>
</file>